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4FCC" w14:textId="77777777" w:rsidR="00A73ADC" w:rsidRPr="00932457" w:rsidRDefault="00A73ADC" w:rsidP="00A73ADC">
      <w:pPr>
        <w:jc w:val="center"/>
        <w:rPr>
          <w:b/>
          <w:bCs/>
        </w:rPr>
      </w:pPr>
      <w:r w:rsidRPr="00932457">
        <w:rPr>
          <w:b/>
          <w:bCs/>
        </w:rPr>
        <w:t>Monter un projet européen</w:t>
      </w:r>
    </w:p>
    <w:p w14:paraId="65D829E3" w14:textId="77777777" w:rsidR="00A73ADC" w:rsidRDefault="00A73ADC" w:rsidP="00A73ADC">
      <w:pPr>
        <w:jc w:val="center"/>
        <w:rPr>
          <w:b/>
          <w:bCs/>
        </w:rPr>
      </w:pPr>
      <w:r w:rsidRPr="00932457">
        <w:rPr>
          <w:b/>
          <w:bCs/>
        </w:rPr>
        <w:t>Les opérateurs wallons qui vous accompagnent</w:t>
      </w:r>
    </w:p>
    <w:p w14:paraId="30CBCF12" w14:textId="77777777" w:rsidR="00A73ADC" w:rsidRDefault="00A73ADC" w:rsidP="00A73ADC">
      <w:pPr>
        <w:jc w:val="center"/>
        <w:rPr>
          <w:b/>
          <w:bCs/>
        </w:rPr>
      </w:pPr>
    </w:p>
    <w:p w14:paraId="15D3A4B5" w14:textId="77777777" w:rsidR="00A73ADC" w:rsidRDefault="00A73ADC" w:rsidP="00A73ADC">
      <w:pPr>
        <w:jc w:val="both"/>
        <w:rPr>
          <w:b/>
          <w:bCs/>
        </w:rPr>
      </w:pPr>
      <w:r>
        <w:rPr>
          <w:b/>
          <w:bCs/>
        </w:rPr>
        <w:t>Date : 3 et 4 juillet 2025</w:t>
      </w:r>
    </w:p>
    <w:p w14:paraId="73626BF3" w14:textId="77777777" w:rsidR="00A73ADC" w:rsidRDefault="00A73ADC" w:rsidP="00A73ADC">
      <w:pPr>
        <w:jc w:val="both"/>
        <w:rPr>
          <w:b/>
          <w:bCs/>
        </w:rPr>
      </w:pPr>
      <w:r>
        <w:rPr>
          <w:b/>
          <w:bCs/>
        </w:rPr>
        <w:t>Lieu : Press Club, 95 rue Froissard, 1040 Bruxelles</w:t>
      </w:r>
    </w:p>
    <w:p w14:paraId="21D42BF6" w14:textId="77777777" w:rsidR="00A73ADC" w:rsidRDefault="00A73ADC" w:rsidP="00A73ADC">
      <w:pPr>
        <w:jc w:val="both"/>
        <w:rPr>
          <w:b/>
          <w:bCs/>
        </w:rPr>
      </w:pPr>
      <w:r>
        <w:rPr>
          <w:b/>
          <w:bCs/>
        </w:rPr>
        <w:t>Accès : Métro et gare Schuman</w:t>
      </w:r>
    </w:p>
    <w:p w14:paraId="63A73862" w14:textId="77777777" w:rsidR="00A73ADC" w:rsidRDefault="00A73ADC" w:rsidP="00A73ADC">
      <w:pPr>
        <w:jc w:val="both"/>
        <w:rPr>
          <w:b/>
          <w:bCs/>
        </w:rPr>
      </w:pPr>
    </w:p>
    <w:p w14:paraId="212AF466" w14:textId="77777777" w:rsidR="00A73ADC" w:rsidRDefault="00A73ADC" w:rsidP="00A73ADC">
      <w:pPr>
        <w:jc w:val="both"/>
      </w:pPr>
      <w:r>
        <w:t>La plateforme WALMEET.EU et les opérateurs membres de la plateforme vous invitent à deux journées d’information sur les aides pratiques au montage de projets européens.</w:t>
      </w:r>
    </w:p>
    <w:p w14:paraId="07EEBD02" w14:textId="77777777" w:rsidR="00A73ADC" w:rsidRDefault="00A73ADC" w:rsidP="00A73ADC">
      <w:pPr>
        <w:jc w:val="both"/>
      </w:pPr>
      <w:r>
        <w:t xml:space="preserve">L’écosystème européen, fédéral et régional est complexe. Il propose des soutiens très concrets au montage de projets européens. Il peut s’agir d’aides financières mais également de conseils en matière de rédaction, de montage de budgets ou de recherche de partenaires. </w:t>
      </w:r>
    </w:p>
    <w:p w14:paraId="6CD5A1EF" w14:textId="77777777" w:rsidR="00A73ADC" w:rsidRDefault="00A73ADC" w:rsidP="00A73ADC">
      <w:pPr>
        <w:jc w:val="both"/>
      </w:pPr>
      <w:r>
        <w:t>L’objectif de ces journées est de clarifier le paysage, d’identifier les soutiens et les leviers que vous pouvez activer pour maximiser vos chances de réussite dans un appel à projet européen.</w:t>
      </w:r>
    </w:p>
    <w:p w14:paraId="4ACFD3DA" w14:textId="1A74C89F" w:rsidR="00A73ADC" w:rsidRDefault="00A73ADC" w:rsidP="00A73ADC">
      <w:pPr>
        <w:jc w:val="both"/>
      </w:pPr>
      <w:r>
        <w:t>Les deux journées sont structurées autour de différents publics-cibles. Vous pouvez assister à l’ensemble des ateliers, à quelques-uns sélectionnés en fonction de vos intérêts ou à un seul.</w:t>
      </w:r>
    </w:p>
    <w:p w14:paraId="1939A346" w14:textId="77777777" w:rsidR="00A73ADC" w:rsidRDefault="00A73ADC" w:rsidP="00A73ADC">
      <w:pPr>
        <w:jc w:val="both"/>
      </w:pPr>
    </w:p>
    <w:p w14:paraId="5E734882" w14:textId="07B1975F" w:rsidR="00A73ADC" w:rsidRDefault="00A73ADC">
      <w:r>
        <w:br w:type="page"/>
      </w:r>
    </w:p>
    <w:p w14:paraId="4308B974" w14:textId="2978FFA6" w:rsidR="00A73ADC" w:rsidRPr="00A73ADC" w:rsidRDefault="00A73ADC" w:rsidP="00A73ADC">
      <w:pPr>
        <w:jc w:val="center"/>
        <w:rPr>
          <w:b/>
          <w:bCs/>
          <w:sz w:val="28"/>
          <w:szCs w:val="28"/>
          <w:u w:val="single"/>
        </w:rPr>
      </w:pPr>
      <w:r w:rsidRPr="00A73ADC">
        <w:rPr>
          <w:b/>
          <w:bCs/>
          <w:sz w:val="28"/>
          <w:szCs w:val="28"/>
          <w:u w:val="single"/>
        </w:rPr>
        <w:lastRenderedPageBreak/>
        <w:t>Programme (TBC)</w:t>
      </w:r>
    </w:p>
    <w:p w14:paraId="5526A87E" w14:textId="77777777" w:rsidR="00A73ADC" w:rsidRDefault="00A73ADC" w:rsidP="00A73ADC">
      <w:pPr>
        <w:jc w:val="both"/>
      </w:pPr>
    </w:p>
    <w:p w14:paraId="2A5A8651" w14:textId="2A56D2F2" w:rsidR="00A73ADC" w:rsidRPr="001D299C" w:rsidRDefault="00A73ADC" w:rsidP="001D299C">
      <w:pPr>
        <w:jc w:val="center"/>
        <w:rPr>
          <w:b/>
          <w:bCs/>
        </w:rPr>
      </w:pPr>
      <w:r w:rsidRPr="001D299C">
        <w:rPr>
          <w:b/>
          <w:bCs/>
        </w:rPr>
        <w:t>Jeudi 3 juillet 2025</w:t>
      </w:r>
    </w:p>
    <w:p w14:paraId="48C3F3F9" w14:textId="77777777" w:rsidR="00A73ADC" w:rsidRDefault="00A73ADC" w:rsidP="00A73ADC">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A73ADC" w14:paraId="4952AA9F" w14:textId="77777777" w:rsidTr="00A73ADC">
        <w:tc>
          <w:tcPr>
            <w:tcW w:w="1696" w:type="dxa"/>
          </w:tcPr>
          <w:p w14:paraId="23183BF5" w14:textId="0B1C3E83" w:rsidR="00A73ADC" w:rsidRDefault="00A73ADC" w:rsidP="00A73ADC">
            <w:pPr>
              <w:jc w:val="both"/>
            </w:pPr>
            <w:r>
              <w:t>8h30</w:t>
            </w:r>
          </w:p>
        </w:tc>
        <w:tc>
          <w:tcPr>
            <w:tcW w:w="7366" w:type="dxa"/>
          </w:tcPr>
          <w:p w14:paraId="3426C3C8" w14:textId="77777777" w:rsidR="00A73ADC" w:rsidRDefault="00A73ADC" w:rsidP="00A73ADC">
            <w:pPr>
              <w:jc w:val="both"/>
            </w:pPr>
            <w:r>
              <w:t>Accueil</w:t>
            </w:r>
          </w:p>
          <w:p w14:paraId="73C0DFB2" w14:textId="17656D21" w:rsidR="001D299C" w:rsidRDefault="001D299C" w:rsidP="00A73ADC">
            <w:pPr>
              <w:jc w:val="both"/>
            </w:pPr>
          </w:p>
        </w:tc>
      </w:tr>
      <w:tr w:rsidR="00A73ADC" w14:paraId="419296A2" w14:textId="77777777" w:rsidTr="00A73ADC">
        <w:tc>
          <w:tcPr>
            <w:tcW w:w="1696" w:type="dxa"/>
          </w:tcPr>
          <w:p w14:paraId="03687274" w14:textId="48046D95" w:rsidR="00A73ADC" w:rsidRDefault="00A73ADC" w:rsidP="00A73ADC">
            <w:pPr>
              <w:jc w:val="both"/>
            </w:pPr>
            <w:r>
              <w:t>9h00</w:t>
            </w:r>
          </w:p>
        </w:tc>
        <w:tc>
          <w:tcPr>
            <w:tcW w:w="7366" w:type="dxa"/>
          </w:tcPr>
          <w:p w14:paraId="61C1C47F" w14:textId="77777777" w:rsidR="00A73ADC" w:rsidRDefault="00A73ADC" w:rsidP="00A73ADC">
            <w:pPr>
              <w:jc w:val="both"/>
            </w:pPr>
            <w:r>
              <w:t>Introduction</w:t>
            </w:r>
          </w:p>
          <w:p w14:paraId="58FB73B4" w14:textId="50B90BF3" w:rsidR="001D299C" w:rsidRDefault="001D299C" w:rsidP="00A73ADC">
            <w:pPr>
              <w:jc w:val="both"/>
            </w:pPr>
          </w:p>
        </w:tc>
      </w:tr>
      <w:tr w:rsidR="00A73ADC" w14:paraId="6ADA4D04" w14:textId="77777777" w:rsidTr="00A73ADC">
        <w:tc>
          <w:tcPr>
            <w:tcW w:w="1696" w:type="dxa"/>
          </w:tcPr>
          <w:p w14:paraId="2FA9A150" w14:textId="46B034C1" w:rsidR="00A73ADC" w:rsidRDefault="00A73ADC" w:rsidP="00A73ADC">
            <w:pPr>
              <w:jc w:val="both"/>
            </w:pPr>
            <w:r>
              <w:t>9h15</w:t>
            </w:r>
          </w:p>
        </w:tc>
        <w:tc>
          <w:tcPr>
            <w:tcW w:w="7366" w:type="dxa"/>
          </w:tcPr>
          <w:p w14:paraId="401FFA29" w14:textId="77777777" w:rsidR="00A73ADC" w:rsidRDefault="006677CB" w:rsidP="00A73ADC">
            <w:pPr>
              <w:jc w:val="both"/>
            </w:pPr>
            <w:r>
              <w:t>Les logiques qui sous-tendent les appels à projets de la Commission européenne et de ses agences</w:t>
            </w:r>
          </w:p>
          <w:p w14:paraId="199E5973" w14:textId="61714ADE" w:rsidR="001D299C" w:rsidRDefault="001D299C" w:rsidP="00A73ADC">
            <w:pPr>
              <w:jc w:val="both"/>
            </w:pPr>
          </w:p>
        </w:tc>
      </w:tr>
      <w:tr w:rsidR="00A73ADC" w14:paraId="4139E077" w14:textId="77777777" w:rsidTr="00A73ADC">
        <w:tc>
          <w:tcPr>
            <w:tcW w:w="1696" w:type="dxa"/>
          </w:tcPr>
          <w:p w14:paraId="53C99427" w14:textId="30A87F81" w:rsidR="00A73ADC" w:rsidRDefault="006677CB" w:rsidP="00A73ADC">
            <w:pPr>
              <w:jc w:val="both"/>
            </w:pPr>
            <w:r>
              <w:t>9h30</w:t>
            </w:r>
          </w:p>
        </w:tc>
        <w:tc>
          <w:tcPr>
            <w:tcW w:w="7366" w:type="dxa"/>
          </w:tcPr>
          <w:p w14:paraId="3B8DA3B2" w14:textId="04D95474" w:rsidR="00A73ADC" w:rsidRDefault="006677CB" w:rsidP="00A73ADC">
            <w:pPr>
              <w:jc w:val="both"/>
            </w:pPr>
            <w:r>
              <w:t>Présentation de l’ensemble des programmes par type de gestion ainsi que les autorités publiques et opérateurs accompagnateurs</w:t>
            </w:r>
            <w:r w:rsidR="00D43A4A">
              <w:t xml:space="preserve">, M.  Miquel VIDAL-BOVER, division du développement régional et gouvernance multi-niveaux, OCDE.  </w:t>
            </w:r>
          </w:p>
          <w:p w14:paraId="77458630" w14:textId="5219D872" w:rsidR="001D299C" w:rsidRDefault="001D299C" w:rsidP="00A73ADC">
            <w:pPr>
              <w:jc w:val="both"/>
            </w:pPr>
          </w:p>
        </w:tc>
      </w:tr>
      <w:tr w:rsidR="00A73ADC" w14:paraId="5806FFD0" w14:textId="77777777" w:rsidTr="00A73ADC">
        <w:tc>
          <w:tcPr>
            <w:tcW w:w="1696" w:type="dxa"/>
          </w:tcPr>
          <w:p w14:paraId="646506FA" w14:textId="4FCB1AA6" w:rsidR="00A73ADC" w:rsidRDefault="006677CB" w:rsidP="00A73ADC">
            <w:pPr>
              <w:jc w:val="both"/>
            </w:pPr>
            <w:r>
              <w:t>10h00</w:t>
            </w:r>
          </w:p>
        </w:tc>
        <w:tc>
          <w:tcPr>
            <w:tcW w:w="7366" w:type="dxa"/>
          </w:tcPr>
          <w:p w14:paraId="471F8D35" w14:textId="77777777" w:rsidR="00A73ADC" w:rsidRDefault="006677CB" w:rsidP="00A73ADC">
            <w:pPr>
              <w:jc w:val="both"/>
            </w:pPr>
            <w:r>
              <w:t>Questions-Réponses</w:t>
            </w:r>
          </w:p>
          <w:p w14:paraId="12C9852E" w14:textId="219D1866" w:rsidR="001D299C" w:rsidRDefault="001D299C" w:rsidP="00A73ADC">
            <w:pPr>
              <w:jc w:val="both"/>
            </w:pPr>
          </w:p>
        </w:tc>
      </w:tr>
      <w:tr w:rsidR="00A73ADC" w14:paraId="4B13E6C6" w14:textId="77777777" w:rsidTr="00A73ADC">
        <w:tc>
          <w:tcPr>
            <w:tcW w:w="1696" w:type="dxa"/>
          </w:tcPr>
          <w:p w14:paraId="1F90C10E" w14:textId="185D554B" w:rsidR="00A73ADC" w:rsidRDefault="006677CB" w:rsidP="00A73ADC">
            <w:pPr>
              <w:jc w:val="both"/>
            </w:pPr>
            <w:r>
              <w:t>10h30</w:t>
            </w:r>
          </w:p>
        </w:tc>
        <w:tc>
          <w:tcPr>
            <w:tcW w:w="7366" w:type="dxa"/>
          </w:tcPr>
          <w:p w14:paraId="5DEF5AC5" w14:textId="77777777" w:rsidR="00A73ADC" w:rsidRDefault="006677CB" w:rsidP="00A73ADC">
            <w:pPr>
              <w:jc w:val="both"/>
            </w:pPr>
            <w:r>
              <w:t>Pause-café</w:t>
            </w:r>
          </w:p>
          <w:p w14:paraId="0F4AFE8B" w14:textId="2BD636FE" w:rsidR="001D299C" w:rsidRDefault="001D299C" w:rsidP="00A73ADC">
            <w:pPr>
              <w:jc w:val="both"/>
            </w:pPr>
          </w:p>
        </w:tc>
      </w:tr>
      <w:tr w:rsidR="00A73ADC" w14:paraId="7A617C93" w14:textId="77777777" w:rsidTr="00A73ADC">
        <w:tc>
          <w:tcPr>
            <w:tcW w:w="1696" w:type="dxa"/>
          </w:tcPr>
          <w:p w14:paraId="55891052" w14:textId="0CA272DD" w:rsidR="00A73ADC" w:rsidRDefault="006677CB" w:rsidP="00A73ADC">
            <w:pPr>
              <w:jc w:val="both"/>
            </w:pPr>
            <w:r>
              <w:t>10h45</w:t>
            </w:r>
          </w:p>
        </w:tc>
        <w:tc>
          <w:tcPr>
            <w:tcW w:w="7366" w:type="dxa"/>
          </w:tcPr>
          <w:p w14:paraId="5FDDD5BF" w14:textId="77777777" w:rsidR="006677CB" w:rsidRDefault="006677CB" w:rsidP="006677CB">
            <w:pPr>
              <w:jc w:val="both"/>
            </w:pPr>
            <w:r>
              <w:t>Le montage d’un projet européen : ce qu’il faut savoir (film)</w:t>
            </w:r>
          </w:p>
          <w:p w14:paraId="06440431" w14:textId="009A9A9C" w:rsidR="001D299C" w:rsidRDefault="001D299C" w:rsidP="006677CB">
            <w:pPr>
              <w:jc w:val="both"/>
            </w:pPr>
          </w:p>
        </w:tc>
      </w:tr>
      <w:tr w:rsidR="00A73ADC" w14:paraId="2A53A86E" w14:textId="77777777" w:rsidTr="001D299C">
        <w:trPr>
          <w:trHeight w:val="1268"/>
        </w:trPr>
        <w:tc>
          <w:tcPr>
            <w:tcW w:w="1696" w:type="dxa"/>
          </w:tcPr>
          <w:p w14:paraId="08F51D20" w14:textId="222A0A84" w:rsidR="00A73ADC" w:rsidRDefault="006677CB" w:rsidP="00A73ADC">
            <w:pPr>
              <w:jc w:val="both"/>
            </w:pPr>
            <w:r>
              <w:t>11h00</w:t>
            </w:r>
          </w:p>
        </w:tc>
        <w:tc>
          <w:tcPr>
            <w:tcW w:w="7366" w:type="dxa"/>
          </w:tcPr>
          <w:p w14:paraId="61B4F2EA" w14:textId="4C48C70D" w:rsidR="001D299C" w:rsidRDefault="006677CB" w:rsidP="001D299C">
            <w:pPr>
              <w:jc w:val="both"/>
            </w:pPr>
            <w:r>
              <w:t>Des programmes qui ciblent les autorités publiques</w:t>
            </w:r>
            <w:r w:rsidR="001D299C">
              <w:t> : le programme pour la citoyenneté, les valeurs et droits européens (CERV)</w:t>
            </w:r>
            <w:r w:rsidR="00B3054E">
              <w:t xml:space="preserve">, M. Marco SIOLI Agence EACEA </w:t>
            </w:r>
            <w:r w:rsidR="001D299C">
              <w:t>et le Mécanisme pour l’Interconnexion en Europe (Transport / Energie) (CEF)</w:t>
            </w:r>
          </w:p>
          <w:p w14:paraId="3E6B02B5" w14:textId="5C5DDC9F" w:rsidR="001D299C" w:rsidRDefault="001D299C" w:rsidP="001D299C">
            <w:pPr>
              <w:jc w:val="both"/>
            </w:pPr>
          </w:p>
        </w:tc>
      </w:tr>
      <w:tr w:rsidR="00A73ADC" w14:paraId="48FBCF5B" w14:textId="77777777" w:rsidTr="00A73ADC">
        <w:tc>
          <w:tcPr>
            <w:tcW w:w="1696" w:type="dxa"/>
          </w:tcPr>
          <w:p w14:paraId="66715328" w14:textId="017E5DAD" w:rsidR="00A73ADC" w:rsidRDefault="001D299C" w:rsidP="00A73ADC">
            <w:pPr>
              <w:jc w:val="both"/>
            </w:pPr>
            <w:r>
              <w:t>11h30</w:t>
            </w:r>
          </w:p>
        </w:tc>
        <w:tc>
          <w:tcPr>
            <w:tcW w:w="7366" w:type="dxa"/>
          </w:tcPr>
          <w:p w14:paraId="741BB9DB" w14:textId="77777777" w:rsidR="00A73ADC" w:rsidRDefault="001D299C" w:rsidP="00A73ADC">
            <w:pPr>
              <w:jc w:val="both"/>
            </w:pPr>
            <w:r>
              <w:t>Présentation des opérateurs en Wallonie</w:t>
            </w:r>
          </w:p>
          <w:p w14:paraId="24902583" w14:textId="4524B226" w:rsidR="001D299C" w:rsidRDefault="001D299C" w:rsidP="00A73ADC">
            <w:pPr>
              <w:jc w:val="both"/>
            </w:pPr>
          </w:p>
        </w:tc>
      </w:tr>
      <w:tr w:rsidR="00A73ADC" w14:paraId="1ACF3B27" w14:textId="77777777" w:rsidTr="00A73ADC">
        <w:tc>
          <w:tcPr>
            <w:tcW w:w="1696" w:type="dxa"/>
          </w:tcPr>
          <w:p w14:paraId="7F4EBBCF" w14:textId="7DE68F0A" w:rsidR="00A73ADC" w:rsidRDefault="001D299C" w:rsidP="00A73ADC">
            <w:pPr>
              <w:jc w:val="both"/>
            </w:pPr>
            <w:r>
              <w:t>12h00</w:t>
            </w:r>
          </w:p>
        </w:tc>
        <w:tc>
          <w:tcPr>
            <w:tcW w:w="7366" w:type="dxa"/>
          </w:tcPr>
          <w:p w14:paraId="6D095CCC" w14:textId="77777777" w:rsidR="00A73ADC" w:rsidRDefault="001D299C" w:rsidP="00A73ADC">
            <w:pPr>
              <w:jc w:val="both"/>
            </w:pPr>
            <w:r>
              <w:t>Présentation d’un projet gagnant</w:t>
            </w:r>
          </w:p>
          <w:p w14:paraId="0A87E7AB" w14:textId="612797C7" w:rsidR="001D299C" w:rsidRDefault="001D299C" w:rsidP="00A73ADC">
            <w:pPr>
              <w:jc w:val="both"/>
            </w:pPr>
          </w:p>
        </w:tc>
      </w:tr>
      <w:tr w:rsidR="00A73ADC" w14:paraId="71859342" w14:textId="77777777" w:rsidTr="00A73ADC">
        <w:tc>
          <w:tcPr>
            <w:tcW w:w="1696" w:type="dxa"/>
          </w:tcPr>
          <w:p w14:paraId="1B1D0B35" w14:textId="35351328" w:rsidR="00A73ADC" w:rsidRDefault="001D299C" w:rsidP="00A73ADC">
            <w:pPr>
              <w:jc w:val="both"/>
            </w:pPr>
            <w:r>
              <w:t>12h15</w:t>
            </w:r>
          </w:p>
        </w:tc>
        <w:tc>
          <w:tcPr>
            <w:tcW w:w="7366" w:type="dxa"/>
          </w:tcPr>
          <w:p w14:paraId="168B66AD" w14:textId="77777777" w:rsidR="00A73ADC" w:rsidRDefault="001D299C" w:rsidP="00A73ADC">
            <w:pPr>
              <w:jc w:val="both"/>
            </w:pPr>
            <w:r>
              <w:t>Echanges</w:t>
            </w:r>
          </w:p>
          <w:p w14:paraId="4443A108" w14:textId="2B1539D1" w:rsidR="001D299C" w:rsidRDefault="001D299C" w:rsidP="00A73ADC">
            <w:pPr>
              <w:jc w:val="both"/>
            </w:pPr>
          </w:p>
        </w:tc>
      </w:tr>
      <w:tr w:rsidR="00A73ADC" w14:paraId="00B1CDF5" w14:textId="77777777" w:rsidTr="00A73ADC">
        <w:tc>
          <w:tcPr>
            <w:tcW w:w="1696" w:type="dxa"/>
          </w:tcPr>
          <w:p w14:paraId="2C6F45A3" w14:textId="6868BD6C" w:rsidR="00A73ADC" w:rsidRDefault="001D299C" w:rsidP="00A73ADC">
            <w:pPr>
              <w:jc w:val="both"/>
            </w:pPr>
            <w:r>
              <w:t>12h45</w:t>
            </w:r>
          </w:p>
        </w:tc>
        <w:tc>
          <w:tcPr>
            <w:tcW w:w="7366" w:type="dxa"/>
          </w:tcPr>
          <w:p w14:paraId="6FB5E8E0" w14:textId="77777777" w:rsidR="00A73ADC" w:rsidRDefault="001D299C" w:rsidP="00A73ADC">
            <w:pPr>
              <w:jc w:val="both"/>
            </w:pPr>
            <w:r>
              <w:t>Pause-déjeuner</w:t>
            </w:r>
          </w:p>
          <w:p w14:paraId="43CF3F07" w14:textId="69F340D4" w:rsidR="001D299C" w:rsidRDefault="001D299C" w:rsidP="00A73ADC">
            <w:pPr>
              <w:jc w:val="both"/>
            </w:pPr>
          </w:p>
        </w:tc>
      </w:tr>
      <w:tr w:rsidR="001D299C" w14:paraId="1BEFE259" w14:textId="77777777" w:rsidTr="00A73ADC">
        <w:tc>
          <w:tcPr>
            <w:tcW w:w="1696" w:type="dxa"/>
          </w:tcPr>
          <w:p w14:paraId="4036DE63" w14:textId="3F4E4091" w:rsidR="001D299C" w:rsidRDefault="001D299C" w:rsidP="001D299C">
            <w:pPr>
              <w:jc w:val="both"/>
            </w:pPr>
            <w:r>
              <w:t>14h00</w:t>
            </w:r>
          </w:p>
        </w:tc>
        <w:tc>
          <w:tcPr>
            <w:tcW w:w="7366" w:type="dxa"/>
          </w:tcPr>
          <w:p w14:paraId="7EA914C4" w14:textId="77777777" w:rsidR="001D299C" w:rsidRDefault="001D299C" w:rsidP="001D299C">
            <w:pPr>
              <w:jc w:val="both"/>
            </w:pPr>
            <w:r>
              <w:t>Le montage d’un projet européen : ce qu’il faut savoir (film)</w:t>
            </w:r>
          </w:p>
          <w:p w14:paraId="13FE4027" w14:textId="45EA248C" w:rsidR="001D299C" w:rsidRDefault="001D299C" w:rsidP="001D299C">
            <w:pPr>
              <w:jc w:val="both"/>
            </w:pPr>
          </w:p>
        </w:tc>
      </w:tr>
      <w:tr w:rsidR="001D299C" w14:paraId="35470B43" w14:textId="77777777" w:rsidTr="00A73ADC">
        <w:tc>
          <w:tcPr>
            <w:tcW w:w="1696" w:type="dxa"/>
          </w:tcPr>
          <w:p w14:paraId="5CCB436D" w14:textId="3A27E3A7" w:rsidR="001D299C" w:rsidRDefault="001D299C" w:rsidP="001D299C">
            <w:pPr>
              <w:jc w:val="both"/>
            </w:pPr>
            <w:r>
              <w:t>14h15</w:t>
            </w:r>
          </w:p>
        </w:tc>
        <w:tc>
          <w:tcPr>
            <w:tcW w:w="7366" w:type="dxa"/>
          </w:tcPr>
          <w:p w14:paraId="7CE6974B" w14:textId="758E907C" w:rsidR="001D299C" w:rsidRDefault="001D299C" w:rsidP="001D299C">
            <w:pPr>
              <w:jc w:val="both"/>
            </w:pPr>
            <w:r>
              <w:t>Des programmes qui ciblent les entreprises, les PME et les centres de recherche : Horizon Europe, LIFE et le programme DIGITAL Europe.</w:t>
            </w:r>
          </w:p>
        </w:tc>
      </w:tr>
      <w:tr w:rsidR="008F4E1B" w14:paraId="53C181F7" w14:textId="77777777" w:rsidTr="00A73ADC">
        <w:tc>
          <w:tcPr>
            <w:tcW w:w="1696" w:type="dxa"/>
          </w:tcPr>
          <w:p w14:paraId="45298E72" w14:textId="77777777" w:rsidR="008F4E1B" w:rsidRDefault="008F4E1B" w:rsidP="001D299C">
            <w:pPr>
              <w:jc w:val="both"/>
            </w:pPr>
          </w:p>
        </w:tc>
        <w:tc>
          <w:tcPr>
            <w:tcW w:w="7366" w:type="dxa"/>
          </w:tcPr>
          <w:p w14:paraId="664A8447" w14:textId="77777777" w:rsidR="008F4E1B" w:rsidRDefault="008F4E1B" w:rsidP="001D299C">
            <w:pPr>
              <w:jc w:val="both"/>
            </w:pPr>
          </w:p>
        </w:tc>
      </w:tr>
      <w:tr w:rsidR="001D299C" w14:paraId="2042D40E" w14:textId="77777777" w:rsidTr="00A73ADC">
        <w:tc>
          <w:tcPr>
            <w:tcW w:w="1696" w:type="dxa"/>
          </w:tcPr>
          <w:p w14:paraId="0187DC4A" w14:textId="2DF78BC7" w:rsidR="001D299C" w:rsidRDefault="001D299C" w:rsidP="001D299C">
            <w:pPr>
              <w:jc w:val="both"/>
            </w:pPr>
            <w:r>
              <w:lastRenderedPageBreak/>
              <w:t>15h15</w:t>
            </w:r>
          </w:p>
        </w:tc>
        <w:tc>
          <w:tcPr>
            <w:tcW w:w="7366" w:type="dxa"/>
          </w:tcPr>
          <w:p w14:paraId="436F8B3C" w14:textId="77777777" w:rsidR="001D299C" w:rsidRDefault="001D299C" w:rsidP="001D299C">
            <w:pPr>
              <w:jc w:val="both"/>
            </w:pPr>
            <w:r>
              <w:t>Présentation des opérateurs en Wallonie</w:t>
            </w:r>
          </w:p>
          <w:p w14:paraId="541AB948" w14:textId="2A3206E1" w:rsidR="008F4E1B" w:rsidRDefault="008F4E1B" w:rsidP="001D299C">
            <w:pPr>
              <w:jc w:val="both"/>
            </w:pPr>
          </w:p>
        </w:tc>
      </w:tr>
      <w:tr w:rsidR="001D299C" w14:paraId="0D984C79" w14:textId="77777777" w:rsidTr="00A73ADC">
        <w:tc>
          <w:tcPr>
            <w:tcW w:w="1696" w:type="dxa"/>
          </w:tcPr>
          <w:p w14:paraId="3ECDD44F" w14:textId="5E6A839F" w:rsidR="001D299C" w:rsidRDefault="001D299C" w:rsidP="001D299C">
            <w:pPr>
              <w:jc w:val="both"/>
            </w:pPr>
            <w:r>
              <w:t>15h45</w:t>
            </w:r>
          </w:p>
        </w:tc>
        <w:tc>
          <w:tcPr>
            <w:tcW w:w="7366" w:type="dxa"/>
          </w:tcPr>
          <w:p w14:paraId="3031A866" w14:textId="77777777" w:rsidR="001D299C" w:rsidRDefault="001D299C" w:rsidP="001D299C">
            <w:pPr>
              <w:jc w:val="both"/>
            </w:pPr>
            <w:r>
              <w:t>Pause-café</w:t>
            </w:r>
          </w:p>
          <w:p w14:paraId="7956AF84" w14:textId="597E58D5" w:rsidR="008F4E1B" w:rsidRDefault="008F4E1B" w:rsidP="001D299C">
            <w:pPr>
              <w:jc w:val="both"/>
            </w:pPr>
          </w:p>
        </w:tc>
      </w:tr>
      <w:tr w:rsidR="001D299C" w14:paraId="0B2F4589" w14:textId="77777777" w:rsidTr="00A73ADC">
        <w:tc>
          <w:tcPr>
            <w:tcW w:w="1696" w:type="dxa"/>
          </w:tcPr>
          <w:p w14:paraId="26BA78A1" w14:textId="3222259D" w:rsidR="001D299C" w:rsidRDefault="001D299C" w:rsidP="001D299C">
            <w:pPr>
              <w:jc w:val="both"/>
            </w:pPr>
            <w:r>
              <w:t>16h00</w:t>
            </w:r>
          </w:p>
        </w:tc>
        <w:tc>
          <w:tcPr>
            <w:tcW w:w="7366" w:type="dxa"/>
          </w:tcPr>
          <w:p w14:paraId="76E062BC" w14:textId="77777777" w:rsidR="001D299C" w:rsidRDefault="001D299C" w:rsidP="001D299C">
            <w:pPr>
              <w:jc w:val="both"/>
            </w:pPr>
            <w:r>
              <w:t>Présentation de projets gagnants</w:t>
            </w:r>
          </w:p>
          <w:p w14:paraId="5AB27494" w14:textId="0F57EC69" w:rsidR="008F4E1B" w:rsidRDefault="008F4E1B" w:rsidP="001D299C">
            <w:pPr>
              <w:jc w:val="both"/>
            </w:pPr>
          </w:p>
        </w:tc>
      </w:tr>
      <w:tr w:rsidR="001D299C" w14:paraId="120F93CA" w14:textId="77777777" w:rsidTr="00A73ADC">
        <w:tc>
          <w:tcPr>
            <w:tcW w:w="1696" w:type="dxa"/>
          </w:tcPr>
          <w:p w14:paraId="2F8B3E3C" w14:textId="6F335CC0" w:rsidR="001D299C" w:rsidRDefault="001D299C" w:rsidP="001D299C">
            <w:pPr>
              <w:jc w:val="both"/>
            </w:pPr>
            <w:r>
              <w:t>16h30</w:t>
            </w:r>
          </w:p>
        </w:tc>
        <w:tc>
          <w:tcPr>
            <w:tcW w:w="7366" w:type="dxa"/>
          </w:tcPr>
          <w:p w14:paraId="31047B2E" w14:textId="77777777" w:rsidR="001D299C" w:rsidRDefault="001D299C" w:rsidP="001D299C">
            <w:pPr>
              <w:jc w:val="both"/>
            </w:pPr>
            <w:r>
              <w:t>Echanges</w:t>
            </w:r>
          </w:p>
          <w:p w14:paraId="0BDF56BF" w14:textId="32C86643" w:rsidR="008F4E1B" w:rsidRDefault="008F4E1B" w:rsidP="001D299C">
            <w:pPr>
              <w:jc w:val="both"/>
            </w:pPr>
          </w:p>
        </w:tc>
      </w:tr>
      <w:tr w:rsidR="001D299C" w14:paraId="1C6EEFD4" w14:textId="77777777" w:rsidTr="00A73ADC">
        <w:tc>
          <w:tcPr>
            <w:tcW w:w="1696" w:type="dxa"/>
          </w:tcPr>
          <w:p w14:paraId="7AA55AE9" w14:textId="7B041656" w:rsidR="001D299C" w:rsidRDefault="001D299C" w:rsidP="001D299C">
            <w:pPr>
              <w:jc w:val="both"/>
            </w:pPr>
            <w:r>
              <w:t>17h00</w:t>
            </w:r>
          </w:p>
        </w:tc>
        <w:tc>
          <w:tcPr>
            <w:tcW w:w="7366" w:type="dxa"/>
          </w:tcPr>
          <w:p w14:paraId="349D9521" w14:textId="45D09C76" w:rsidR="001D299C" w:rsidRDefault="001D299C" w:rsidP="001D299C">
            <w:pPr>
              <w:jc w:val="both"/>
            </w:pPr>
            <w:r>
              <w:t>Conclusion</w:t>
            </w:r>
          </w:p>
        </w:tc>
      </w:tr>
      <w:tr w:rsidR="001D299C" w14:paraId="340603DA" w14:textId="77777777" w:rsidTr="00A73ADC">
        <w:tc>
          <w:tcPr>
            <w:tcW w:w="1696" w:type="dxa"/>
          </w:tcPr>
          <w:p w14:paraId="66F34D83" w14:textId="77777777" w:rsidR="001D299C" w:rsidRDefault="001D299C" w:rsidP="001D299C">
            <w:pPr>
              <w:jc w:val="both"/>
            </w:pPr>
          </w:p>
        </w:tc>
        <w:tc>
          <w:tcPr>
            <w:tcW w:w="7366" w:type="dxa"/>
          </w:tcPr>
          <w:p w14:paraId="1EF18EF5" w14:textId="77777777" w:rsidR="001D299C" w:rsidRDefault="001D299C" w:rsidP="001D299C">
            <w:pPr>
              <w:jc w:val="both"/>
            </w:pPr>
          </w:p>
        </w:tc>
      </w:tr>
    </w:tbl>
    <w:p w14:paraId="23AC12E6" w14:textId="77777777" w:rsidR="00A73ADC" w:rsidRDefault="00A73ADC" w:rsidP="00A73ADC">
      <w:pPr>
        <w:pStyle w:val="Paragraphedeliste"/>
        <w:jc w:val="both"/>
      </w:pPr>
    </w:p>
    <w:p w14:paraId="6F5431B6" w14:textId="6D58E4B4" w:rsidR="008F4E1B" w:rsidRPr="00974AC0" w:rsidRDefault="008F4E1B" w:rsidP="00974AC0">
      <w:pPr>
        <w:jc w:val="center"/>
        <w:rPr>
          <w:b/>
          <w:bCs/>
        </w:rPr>
      </w:pPr>
      <w:r w:rsidRPr="00974AC0">
        <w:rPr>
          <w:b/>
          <w:bCs/>
        </w:rPr>
        <w:t>Vendredi 4 juillet 2025</w:t>
      </w:r>
    </w:p>
    <w:p w14:paraId="5EAA3DA7" w14:textId="77777777" w:rsidR="008F4E1B" w:rsidRDefault="008F4E1B" w:rsidP="00974AC0">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8F4E1B" w14:paraId="39B5FEE4" w14:textId="77777777" w:rsidTr="00974AC0">
        <w:tc>
          <w:tcPr>
            <w:tcW w:w="1696" w:type="dxa"/>
          </w:tcPr>
          <w:p w14:paraId="440C1220" w14:textId="77777777" w:rsidR="008F4E1B" w:rsidRDefault="008F4E1B" w:rsidP="00974AC0">
            <w:pPr>
              <w:jc w:val="both"/>
            </w:pPr>
            <w:r>
              <w:t>8h30</w:t>
            </w:r>
          </w:p>
        </w:tc>
        <w:tc>
          <w:tcPr>
            <w:tcW w:w="7366" w:type="dxa"/>
          </w:tcPr>
          <w:p w14:paraId="1E203A08" w14:textId="77777777" w:rsidR="008F4E1B" w:rsidRDefault="008F4E1B" w:rsidP="00974AC0">
            <w:pPr>
              <w:jc w:val="both"/>
            </w:pPr>
            <w:r>
              <w:t>Accueil</w:t>
            </w:r>
          </w:p>
          <w:p w14:paraId="555F07AB" w14:textId="77777777" w:rsidR="008F4E1B" w:rsidRDefault="008F4E1B" w:rsidP="00974AC0">
            <w:pPr>
              <w:jc w:val="both"/>
            </w:pPr>
          </w:p>
        </w:tc>
      </w:tr>
      <w:tr w:rsidR="008F4E1B" w14:paraId="0AC930A6" w14:textId="77777777" w:rsidTr="00974AC0">
        <w:tc>
          <w:tcPr>
            <w:tcW w:w="1696" w:type="dxa"/>
          </w:tcPr>
          <w:p w14:paraId="16004D84" w14:textId="77777777" w:rsidR="008F4E1B" w:rsidRDefault="008F4E1B" w:rsidP="00974AC0">
            <w:pPr>
              <w:jc w:val="both"/>
            </w:pPr>
            <w:r>
              <w:t>9h00</w:t>
            </w:r>
          </w:p>
        </w:tc>
        <w:tc>
          <w:tcPr>
            <w:tcW w:w="7366" w:type="dxa"/>
          </w:tcPr>
          <w:p w14:paraId="24AA8EE1" w14:textId="77777777" w:rsidR="008F4E1B" w:rsidRDefault="008F4E1B" w:rsidP="00974AC0">
            <w:pPr>
              <w:jc w:val="both"/>
            </w:pPr>
            <w:r>
              <w:t>Introduction</w:t>
            </w:r>
          </w:p>
          <w:p w14:paraId="3E3823FB" w14:textId="77777777" w:rsidR="008F4E1B" w:rsidRDefault="008F4E1B" w:rsidP="00974AC0">
            <w:pPr>
              <w:jc w:val="both"/>
            </w:pPr>
          </w:p>
        </w:tc>
      </w:tr>
      <w:tr w:rsidR="008F4E1B" w14:paraId="1BD4BD83" w14:textId="77777777" w:rsidTr="00974AC0">
        <w:tc>
          <w:tcPr>
            <w:tcW w:w="1696" w:type="dxa"/>
          </w:tcPr>
          <w:p w14:paraId="635C0953" w14:textId="77777777" w:rsidR="008F4E1B" w:rsidRDefault="008F4E1B" w:rsidP="00974AC0">
            <w:pPr>
              <w:jc w:val="both"/>
            </w:pPr>
            <w:r>
              <w:t>9h15</w:t>
            </w:r>
          </w:p>
        </w:tc>
        <w:tc>
          <w:tcPr>
            <w:tcW w:w="7366" w:type="dxa"/>
          </w:tcPr>
          <w:p w14:paraId="74861E0E" w14:textId="77777777" w:rsidR="008F4E1B" w:rsidRDefault="008F4E1B" w:rsidP="00974AC0">
            <w:pPr>
              <w:jc w:val="both"/>
            </w:pPr>
            <w:r>
              <w:t>Le montage d’un projet européen : ce qu’il faut savoir (film)</w:t>
            </w:r>
          </w:p>
          <w:p w14:paraId="6270C8D0" w14:textId="3143A3D7" w:rsidR="008F4E1B" w:rsidRDefault="008F4E1B" w:rsidP="00974AC0">
            <w:pPr>
              <w:jc w:val="both"/>
            </w:pPr>
          </w:p>
        </w:tc>
      </w:tr>
      <w:tr w:rsidR="008F4E1B" w14:paraId="042F3120" w14:textId="77777777" w:rsidTr="00974AC0">
        <w:tc>
          <w:tcPr>
            <w:tcW w:w="1696" w:type="dxa"/>
          </w:tcPr>
          <w:p w14:paraId="4B771E49" w14:textId="77777777" w:rsidR="008F4E1B" w:rsidRDefault="008F4E1B" w:rsidP="00974AC0">
            <w:pPr>
              <w:jc w:val="both"/>
            </w:pPr>
            <w:r>
              <w:t>9h30</w:t>
            </w:r>
          </w:p>
        </w:tc>
        <w:tc>
          <w:tcPr>
            <w:tcW w:w="7366" w:type="dxa"/>
          </w:tcPr>
          <w:p w14:paraId="2759089C" w14:textId="77777777" w:rsidR="008F4E1B" w:rsidRDefault="008F4E1B" w:rsidP="00974AC0">
            <w:pPr>
              <w:jc w:val="both"/>
            </w:pPr>
            <w:r>
              <w:t>Des programmes qui ciblent les secteurs culturels et créatifs : CREATIVE EUROPE et le programme pour le marché unique</w:t>
            </w:r>
          </w:p>
          <w:p w14:paraId="0DC97236" w14:textId="77777777" w:rsidR="008F4E1B" w:rsidRDefault="008F4E1B" w:rsidP="00974AC0">
            <w:pPr>
              <w:jc w:val="both"/>
            </w:pPr>
          </w:p>
        </w:tc>
      </w:tr>
      <w:tr w:rsidR="008F4E1B" w14:paraId="18EEB8BD" w14:textId="77777777" w:rsidTr="00974AC0">
        <w:tc>
          <w:tcPr>
            <w:tcW w:w="1696" w:type="dxa"/>
          </w:tcPr>
          <w:p w14:paraId="217C523F" w14:textId="23DF90A6" w:rsidR="008F4E1B" w:rsidRDefault="008F4E1B" w:rsidP="00974AC0">
            <w:pPr>
              <w:jc w:val="both"/>
            </w:pPr>
            <w:r>
              <w:t>10h00</w:t>
            </w:r>
          </w:p>
        </w:tc>
        <w:tc>
          <w:tcPr>
            <w:tcW w:w="7366" w:type="dxa"/>
          </w:tcPr>
          <w:p w14:paraId="396C0883" w14:textId="31D667D3" w:rsidR="008F4E1B" w:rsidRDefault="008F4E1B" w:rsidP="00974AC0">
            <w:pPr>
              <w:jc w:val="both"/>
            </w:pPr>
            <w:r>
              <w:t>Présentation des opérateurs en Wallonie</w:t>
            </w:r>
          </w:p>
          <w:p w14:paraId="008F6A54" w14:textId="77777777" w:rsidR="008F4E1B" w:rsidRDefault="008F4E1B" w:rsidP="00974AC0">
            <w:pPr>
              <w:jc w:val="both"/>
            </w:pPr>
          </w:p>
        </w:tc>
      </w:tr>
      <w:tr w:rsidR="008F4E1B" w14:paraId="55DC5373" w14:textId="77777777" w:rsidTr="00974AC0">
        <w:tc>
          <w:tcPr>
            <w:tcW w:w="1696" w:type="dxa"/>
          </w:tcPr>
          <w:p w14:paraId="1931E230" w14:textId="7346729D" w:rsidR="008F4E1B" w:rsidRDefault="008F4E1B" w:rsidP="00974AC0">
            <w:pPr>
              <w:jc w:val="both"/>
            </w:pPr>
            <w:r>
              <w:t>10h15</w:t>
            </w:r>
          </w:p>
        </w:tc>
        <w:tc>
          <w:tcPr>
            <w:tcW w:w="7366" w:type="dxa"/>
          </w:tcPr>
          <w:p w14:paraId="29BEFAE8" w14:textId="2969C54F" w:rsidR="008F4E1B" w:rsidRDefault="008F4E1B" w:rsidP="00974AC0">
            <w:pPr>
              <w:jc w:val="both"/>
            </w:pPr>
            <w:r>
              <w:t>Des projets gagnants</w:t>
            </w:r>
          </w:p>
          <w:p w14:paraId="1EAC5F9A" w14:textId="77777777" w:rsidR="008F4E1B" w:rsidRDefault="008F4E1B" w:rsidP="00974AC0">
            <w:pPr>
              <w:jc w:val="both"/>
            </w:pPr>
          </w:p>
        </w:tc>
      </w:tr>
      <w:tr w:rsidR="008F4E1B" w14:paraId="54772564" w14:textId="77777777" w:rsidTr="00974AC0">
        <w:tc>
          <w:tcPr>
            <w:tcW w:w="1696" w:type="dxa"/>
          </w:tcPr>
          <w:p w14:paraId="007A4354" w14:textId="34790DFF" w:rsidR="008F4E1B" w:rsidRDefault="008F4E1B" w:rsidP="00974AC0">
            <w:pPr>
              <w:jc w:val="both"/>
            </w:pPr>
            <w:r>
              <w:t>10h30</w:t>
            </w:r>
          </w:p>
        </w:tc>
        <w:tc>
          <w:tcPr>
            <w:tcW w:w="7366" w:type="dxa"/>
          </w:tcPr>
          <w:p w14:paraId="117CEF95" w14:textId="77777777" w:rsidR="008F4E1B" w:rsidRDefault="008F4E1B" w:rsidP="00974AC0">
            <w:pPr>
              <w:jc w:val="both"/>
            </w:pPr>
            <w:r>
              <w:t>Echanges</w:t>
            </w:r>
          </w:p>
          <w:p w14:paraId="52104014" w14:textId="79BF94D4" w:rsidR="008F4E1B" w:rsidRDefault="008F4E1B" w:rsidP="00974AC0">
            <w:pPr>
              <w:jc w:val="both"/>
            </w:pPr>
          </w:p>
        </w:tc>
      </w:tr>
      <w:tr w:rsidR="008F4E1B" w14:paraId="78968333" w14:textId="77777777" w:rsidTr="00974AC0">
        <w:trPr>
          <w:trHeight w:val="1268"/>
        </w:trPr>
        <w:tc>
          <w:tcPr>
            <w:tcW w:w="1696" w:type="dxa"/>
          </w:tcPr>
          <w:p w14:paraId="79E25D45" w14:textId="43CC0420" w:rsidR="008F4E1B" w:rsidRDefault="008F4E1B" w:rsidP="00974AC0">
            <w:pPr>
              <w:jc w:val="both"/>
            </w:pPr>
            <w:r>
              <w:t>10h45</w:t>
            </w:r>
          </w:p>
        </w:tc>
        <w:tc>
          <w:tcPr>
            <w:tcW w:w="7366" w:type="dxa"/>
          </w:tcPr>
          <w:p w14:paraId="1A423275" w14:textId="3D71C5D9" w:rsidR="008F4E1B" w:rsidRDefault="008F4E1B" w:rsidP="00974AC0">
            <w:pPr>
              <w:jc w:val="both"/>
            </w:pPr>
            <w:r>
              <w:t>Pause-café</w:t>
            </w:r>
          </w:p>
        </w:tc>
      </w:tr>
      <w:tr w:rsidR="00974AC0" w14:paraId="740DA785" w14:textId="77777777" w:rsidTr="00974AC0">
        <w:tc>
          <w:tcPr>
            <w:tcW w:w="1696" w:type="dxa"/>
          </w:tcPr>
          <w:p w14:paraId="41342D6B" w14:textId="2796E945" w:rsidR="00974AC0" w:rsidRDefault="00974AC0" w:rsidP="00974AC0">
            <w:pPr>
              <w:jc w:val="both"/>
            </w:pPr>
            <w:r>
              <w:t>11h00</w:t>
            </w:r>
          </w:p>
        </w:tc>
        <w:tc>
          <w:tcPr>
            <w:tcW w:w="7366" w:type="dxa"/>
          </w:tcPr>
          <w:p w14:paraId="2BA18520" w14:textId="77777777" w:rsidR="00974AC0" w:rsidRDefault="00974AC0" w:rsidP="00974AC0">
            <w:pPr>
              <w:jc w:val="both"/>
            </w:pPr>
            <w:r>
              <w:t>Le montage d’un projet européen : ce qu’il faut savoir (film)</w:t>
            </w:r>
          </w:p>
          <w:p w14:paraId="08EC8096" w14:textId="77777777" w:rsidR="00974AC0" w:rsidRDefault="00974AC0" w:rsidP="00974AC0">
            <w:pPr>
              <w:jc w:val="both"/>
            </w:pPr>
          </w:p>
        </w:tc>
      </w:tr>
      <w:tr w:rsidR="00974AC0" w14:paraId="2175C46F" w14:textId="77777777" w:rsidTr="00974AC0">
        <w:tc>
          <w:tcPr>
            <w:tcW w:w="1696" w:type="dxa"/>
          </w:tcPr>
          <w:p w14:paraId="4AE09FE3" w14:textId="53A81F19" w:rsidR="00974AC0" w:rsidRDefault="00974AC0" w:rsidP="00974AC0">
            <w:pPr>
              <w:jc w:val="both"/>
            </w:pPr>
            <w:r>
              <w:t>11h15</w:t>
            </w:r>
          </w:p>
        </w:tc>
        <w:tc>
          <w:tcPr>
            <w:tcW w:w="7366" w:type="dxa"/>
          </w:tcPr>
          <w:p w14:paraId="44CC1FB2" w14:textId="77777777" w:rsidR="00974AC0" w:rsidRDefault="00974AC0" w:rsidP="00974AC0">
            <w:pPr>
              <w:jc w:val="both"/>
            </w:pPr>
            <w:r>
              <w:t>Des programmes qui ciblent le secteur associatif et éducatif : LIFE, ERASMUS+, FSE+, INTERREG</w:t>
            </w:r>
          </w:p>
          <w:p w14:paraId="32207002" w14:textId="459060A3" w:rsidR="00974AC0" w:rsidRDefault="00974AC0" w:rsidP="00974AC0">
            <w:pPr>
              <w:jc w:val="both"/>
            </w:pPr>
          </w:p>
        </w:tc>
      </w:tr>
      <w:tr w:rsidR="00974AC0" w14:paraId="49713AC8" w14:textId="77777777" w:rsidTr="00974AC0">
        <w:tc>
          <w:tcPr>
            <w:tcW w:w="1696" w:type="dxa"/>
          </w:tcPr>
          <w:p w14:paraId="3DFDA9A5" w14:textId="7DEAB5DD" w:rsidR="00974AC0" w:rsidRDefault="00974AC0" w:rsidP="00974AC0">
            <w:pPr>
              <w:jc w:val="both"/>
            </w:pPr>
            <w:r>
              <w:t>11h45</w:t>
            </w:r>
          </w:p>
        </w:tc>
        <w:tc>
          <w:tcPr>
            <w:tcW w:w="7366" w:type="dxa"/>
          </w:tcPr>
          <w:p w14:paraId="2EEBC703" w14:textId="77777777" w:rsidR="00974AC0" w:rsidRDefault="00974AC0" w:rsidP="00974AC0">
            <w:pPr>
              <w:jc w:val="both"/>
            </w:pPr>
            <w:r>
              <w:t>Présentation des opérateurs en Wallonie</w:t>
            </w:r>
          </w:p>
          <w:p w14:paraId="147AE35E" w14:textId="2B9C88E5" w:rsidR="00974AC0" w:rsidRDefault="00974AC0" w:rsidP="00974AC0">
            <w:pPr>
              <w:jc w:val="both"/>
            </w:pPr>
          </w:p>
        </w:tc>
      </w:tr>
      <w:tr w:rsidR="00974AC0" w14:paraId="05C8D28C" w14:textId="77777777" w:rsidTr="00974AC0">
        <w:tc>
          <w:tcPr>
            <w:tcW w:w="1696" w:type="dxa"/>
          </w:tcPr>
          <w:p w14:paraId="17E8D5E3" w14:textId="056E19E0" w:rsidR="00974AC0" w:rsidRDefault="00974AC0" w:rsidP="00974AC0">
            <w:pPr>
              <w:jc w:val="both"/>
            </w:pPr>
            <w:r>
              <w:t>12h15</w:t>
            </w:r>
          </w:p>
        </w:tc>
        <w:tc>
          <w:tcPr>
            <w:tcW w:w="7366" w:type="dxa"/>
          </w:tcPr>
          <w:p w14:paraId="45E7EA37" w14:textId="77777777" w:rsidR="00974AC0" w:rsidRDefault="00974AC0" w:rsidP="00974AC0">
            <w:pPr>
              <w:jc w:val="both"/>
            </w:pPr>
            <w:r>
              <w:t>Présentation de projets gagnants</w:t>
            </w:r>
          </w:p>
          <w:p w14:paraId="02800EEA" w14:textId="2FFC276B" w:rsidR="00974AC0" w:rsidRDefault="00974AC0" w:rsidP="00974AC0">
            <w:pPr>
              <w:jc w:val="both"/>
            </w:pPr>
          </w:p>
        </w:tc>
      </w:tr>
      <w:tr w:rsidR="00974AC0" w14:paraId="48C59406" w14:textId="77777777" w:rsidTr="00974AC0">
        <w:tc>
          <w:tcPr>
            <w:tcW w:w="1696" w:type="dxa"/>
          </w:tcPr>
          <w:p w14:paraId="0441E66F" w14:textId="7F1A7ED8" w:rsidR="00974AC0" w:rsidRDefault="00974AC0" w:rsidP="00974AC0">
            <w:pPr>
              <w:jc w:val="both"/>
            </w:pPr>
            <w:r>
              <w:lastRenderedPageBreak/>
              <w:t>12h30</w:t>
            </w:r>
          </w:p>
        </w:tc>
        <w:tc>
          <w:tcPr>
            <w:tcW w:w="7366" w:type="dxa"/>
          </w:tcPr>
          <w:p w14:paraId="46826328" w14:textId="77777777" w:rsidR="00974AC0" w:rsidRDefault="00974AC0" w:rsidP="00974AC0">
            <w:pPr>
              <w:jc w:val="both"/>
            </w:pPr>
            <w:r>
              <w:t>Echanges</w:t>
            </w:r>
          </w:p>
          <w:p w14:paraId="67D746D7" w14:textId="4A47E0B3" w:rsidR="00974AC0" w:rsidRDefault="00974AC0" w:rsidP="00974AC0">
            <w:pPr>
              <w:jc w:val="both"/>
            </w:pPr>
          </w:p>
        </w:tc>
      </w:tr>
      <w:tr w:rsidR="00974AC0" w14:paraId="4E57C1AB" w14:textId="77777777" w:rsidTr="00974AC0">
        <w:tc>
          <w:tcPr>
            <w:tcW w:w="1696" w:type="dxa"/>
          </w:tcPr>
          <w:p w14:paraId="5ECC95ED" w14:textId="78268D0C" w:rsidR="00974AC0" w:rsidRDefault="00974AC0" w:rsidP="00974AC0">
            <w:pPr>
              <w:jc w:val="both"/>
            </w:pPr>
            <w:r>
              <w:t>12h55</w:t>
            </w:r>
          </w:p>
        </w:tc>
        <w:tc>
          <w:tcPr>
            <w:tcW w:w="7366" w:type="dxa"/>
          </w:tcPr>
          <w:p w14:paraId="69A08694" w14:textId="19CE88DD" w:rsidR="00974AC0" w:rsidRDefault="00974AC0" w:rsidP="00974AC0">
            <w:pPr>
              <w:jc w:val="both"/>
            </w:pPr>
            <w:r>
              <w:t>Conclusions</w:t>
            </w:r>
          </w:p>
        </w:tc>
      </w:tr>
      <w:tr w:rsidR="00974AC0" w14:paraId="69845045" w14:textId="77777777" w:rsidTr="00CE1845">
        <w:tc>
          <w:tcPr>
            <w:tcW w:w="1696" w:type="dxa"/>
          </w:tcPr>
          <w:p w14:paraId="17AD9829" w14:textId="77777777" w:rsidR="00974AC0" w:rsidRDefault="00974AC0" w:rsidP="00974AC0">
            <w:pPr>
              <w:jc w:val="both"/>
            </w:pPr>
          </w:p>
        </w:tc>
        <w:tc>
          <w:tcPr>
            <w:tcW w:w="7366" w:type="dxa"/>
          </w:tcPr>
          <w:p w14:paraId="79B32AF7" w14:textId="77777777" w:rsidR="00974AC0" w:rsidRDefault="00974AC0" w:rsidP="00974AC0">
            <w:pPr>
              <w:jc w:val="both"/>
            </w:pPr>
          </w:p>
        </w:tc>
      </w:tr>
      <w:tr w:rsidR="00974AC0" w14:paraId="30D4F8F2" w14:textId="77777777" w:rsidTr="00CE1845">
        <w:tc>
          <w:tcPr>
            <w:tcW w:w="1696" w:type="dxa"/>
          </w:tcPr>
          <w:p w14:paraId="140861BA" w14:textId="364076F1" w:rsidR="00974AC0" w:rsidRDefault="00974AC0" w:rsidP="00974AC0">
            <w:pPr>
              <w:jc w:val="both"/>
            </w:pPr>
            <w:r>
              <w:t>13h00</w:t>
            </w:r>
          </w:p>
        </w:tc>
        <w:tc>
          <w:tcPr>
            <w:tcW w:w="7366" w:type="dxa"/>
          </w:tcPr>
          <w:p w14:paraId="2099DD50" w14:textId="46D27DFB" w:rsidR="00974AC0" w:rsidRDefault="00974AC0" w:rsidP="00974AC0">
            <w:pPr>
              <w:jc w:val="both"/>
            </w:pPr>
            <w:r>
              <w:t>Lunch de réseautage</w:t>
            </w:r>
          </w:p>
          <w:p w14:paraId="49CBF724" w14:textId="77777777" w:rsidR="00974AC0" w:rsidRDefault="00974AC0" w:rsidP="00974AC0">
            <w:pPr>
              <w:jc w:val="both"/>
            </w:pPr>
          </w:p>
        </w:tc>
      </w:tr>
      <w:tr w:rsidR="00974AC0" w14:paraId="1376F4C2" w14:textId="77777777" w:rsidTr="00CE1845">
        <w:tc>
          <w:tcPr>
            <w:tcW w:w="1696" w:type="dxa"/>
          </w:tcPr>
          <w:p w14:paraId="755F1FB9" w14:textId="38DF082B" w:rsidR="00974AC0" w:rsidRDefault="00974AC0" w:rsidP="00974AC0">
            <w:pPr>
              <w:jc w:val="both"/>
            </w:pPr>
          </w:p>
        </w:tc>
        <w:tc>
          <w:tcPr>
            <w:tcW w:w="7366" w:type="dxa"/>
          </w:tcPr>
          <w:p w14:paraId="0366A28F" w14:textId="77777777" w:rsidR="00974AC0" w:rsidRDefault="00974AC0" w:rsidP="00974AC0">
            <w:pPr>
              <w:jc w:val="both"/>
            </w:pPr>
          </w:p>
        </w:tc>
      </w:tr>
      <w:tr w:rsidR="00974AC0" w14:paraId="71D58DD8" w14:textId="77777777" w:rsidTr="00CE1845">
        <w:tc>
          <w:tcPr>
            <w:tcW w:w="1696" w:type="dxa"/>
          </w:tcPr>
          <w:p w14:paraId="559881C7" w14:textId="5F492B5E" w:rsidR="00974AC0" w:rsidRDefault="00974AC0" w:rsidP="00974AC0">
            <w:pPr>
              <w:jc w:val="both"/>
            </w:pPr>
          </w:p>
        </w:tc>
        <w:tc>
          <w:tcPr>
            <w:tcW w:w="7366" w:type="dxa"/>
          </w:tcPr>
          <w:p w14:paraId="5D3C6AAE" w14:textId="77777777" w:rsidR="00974AC0" w:rsidRDefault="00974AC0" w:rsidP="00974AC0">
            <w:pPr>
              <w:jc w:val="both"/>
            </w:pPr>
          </w:p>
        </w:tc>
      </w:tr>
      <w:tr w:rsidR="00974AC0" w14:paraId="21E261DC" w14:textId="77777777" w:rsidTr="00CE1845">
        <w:tc>
          <w:tcPr>
            <w:tcW w:w="1696" w:type="dxa"/>
          </w:tcPr>
          <w:p w14:paraId="28AF823E" w14:textId="15119582" w:rsidR="00974AC0" w:rsidRDefault="00974AC0" w:rsidP="00974AC0">
            <w:pPr>
              <w:jc w:val="both"/>
            </w:pPr>
          </w:p>
        </w:tc>
        <w:tc>
          <w:tcPr>
            <w:tcW w:w="7366" w:type="dxa"/>
          </w:tcPr>
          <w:p w14:paraId="3D593210" w14:textId="77777777" w:rsidR="00974AC0" w:rsidRDefault="00974AC0" w:rsidP="00974AC0">
            <w:pPr>
              <w:jc w:val="both"/>
            </w:pPr>
          </w:p>
        </w:tc>
      </w:tr>
      <w:tr w:rsidR="00974AC0" w14:paraId="73C82EC5" w14:textId="77777777" w:rsidTr="00CE1845">
        <w:tc>
          <w:tcPr>
            <w:tcW w:w="1696" w:type="dxa"/>
          </w:tcPr>
          <w:p w14:paraId="04D10ACB" w14:textId="5EA16654" w:rsidR="00974AC0" w:rsidRDefault="00974AC0" w:rsidP="00974AC0">
            <w:pPr>
              <w:jc w:val="both"/>
            </w:pPr>
          </w:p>
        </w:tc>
        <w:tc>
          <w:tcPr>
            <w:tcW w:w="7366" w:type="dxa"/>
          </w:tcPr>
          <w:p w14:paraId="6297C75D" w14:textId="1322CB54" w:rsidR="00974AC0" w:rsidRDefault="00974AC0" w:rsidP="00974AC0">
            <w:pPr>
              <w:jc w:val="both"/>
            </w:pPr>
          </w:p>
        </w:tc>
      </w:tr>
      <w:tr w:rsidR="00974AC0" w14:paraId="681ED95C" w14:textId="77777777" w:rsidTr="00CE1845">
        <w:tc>
          <w:tcPr>
            <w:tcW w:w="1696" w:type="dxa"/>
          </w:tcPr>
          <w:p w14:paraId="61B742A9" w14:textId="77777777" w:rsidR="00974AC0" w:rsidRDefault="00974AC0" w:rsidP="00974AC0">
            <w:pPr>
              <w:jc w:val="both"/>
            </w:pPr>
          </w:p>
        </w:tc>
        <w:tc>
          <w:tcPr>
            <w:tcW w:w="7366" w:type="dxa"/>
          </w:tcPr>
          <w:p w14:paraId="4E853A6A" w14:textId="77777777" w:rsidR="00974AC0" w:rsidRDefault="00974AC0" w:rsidP="00974AC0">
            <w:pPr>
              <w:jc w:val="both"/>
            </w:pPr>
          </w:p>
        </w:tc>
      </w:tr>
    </w:tbl>
    <w:p w14:paraId="02858AFF" w14:textId="77777777" w:rsidR="008F4E1B" w:rsidRDefault="008F4E1B" w:rsidP="008F4E1B">
      <w:pPr>
        <w:pStyle w:val="Paragraphedeliste"/>
        <w:jc w:val="both"/>
      </w:pPr>
    </w:p>
    <w:p w14:paraId="01C7BD11" w14:textId="77777777" w:rsidR="00A73ADC" w:rsidRDefault="00A73ADC" w:rsidP="00A73ADC">
      <w:pPr>
        <w:pStyle w:val="Paragraphedeliste"/>
        <w:ind w:left="1440"/>
        <w:jc w:val="both"/>
      </w:pPr>
    </w:p>
    <w:sectPr w:rsidR="00A73AD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765C" w14:textId="77777777" w:rsidR="00A73ADC" w:rsidRDefault="00A73ADC" w:rsidP="00A73ADC">
      <w:pPr>
        <w:spacing w:after="0" w:line="240" w:lineRule="auto"/>
      </w:pPr>
      <w:r>
        <w:separator/>
      </w:r>
    </w:p>
  </w:endnote>
  <w:endnote w:type="continuationSeparator" w:id="0">
    <w:p w14:paraId="4F5AC4CD" w14:textId="77777777" w:rsidR="00A73ADC" w:rsidRDefault="00A73ADC" w:rsidP="00A7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1FADE" w14:textId="77777777" w:rsidR="00A73ADC" w:rsidRDefault="00A73ADC" w:rsidP="00A73ADC">
      <w:pPr>
        <w:spacing w:after="0" w:line="240" w:lineRule="auto"/>
      </w:pPr>
      <w:r>
        <w:separator/>
      </w:r>
    </w:p>
  </w:footnote>
  <w:footnote w:type="continuationSeparator" w:id="0">
    <w:p w14:paraId="255213AA" w14:textId="77777777" w:rsidR="00A73ADC" w:rsidRDefault="00A73ADC" w:rsidP="00A73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9261" w14:textId="531853BE" w:rsidR="00A73ADC" w:rsidRDefault="00A73ADC">
    <w:pPr>
      <w:pStyle w:val="En-tte"/>
    </w:pPr>
    <w:r>
      <w:rPr>
        <w:noProof/>
      </w:rPr>
      <w:drawing>
        <wp:inline distT="0" distB="0" distL="0" distR="0" wp14:anchorId="26832E97" wp14:editId="119F2037">
          <wp:extent cx="3057525"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71550"/>
                  </a:xfrm>
                  <a:prstGeom prst="rect">
                    <a:avLst/>
                  </a:prstGeom>
                  <a:noFill/>
                  <a:ln>
                    <a:noFill/>
                  </a:ln>
                </pic:spPr>
              </pic:pic>
            </a:graphicData>
          </a:graphic>
        </wp:inline>
      </w:drawing>
    </w:r>
  </w:p>
  <w:p w14:paraId="671CD7F9" w14:textId="77777777" w:rsidR="00A73ADC" w:rsidRDefault="00A73A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08F4"/>
    <w:multiLevelType w:val="multilevel"/>
    <w:tmpl w:val="3AA42C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3389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DC"/>
    <w:rsid w:val="0007663F"/>
    <w:rsid w:val="001D299C"/>
    <w:rsid w:val="006153FE"/>
    <w:rsid w:val="006677CB"/>
    <w:rsid w:val="00717667"/>
    <w:rsid w:val="007E5341"/>
    <w:rsid w:val="008400DD"/>
    <w:rsid w:val="008F4E1B"/>
    <w:rsid w:val="00971C0B"/>
    <w:rsid w:val="00974AC0"/>
    <w:rsid w:val="00A73ADC"/>
    <w:rsid w:val="00B3054E"/>
    <w:rsid w:val="00D43A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A8DA"/>
  <w15:chartTrackingRefBased/>
  <w15:docId w15:val="{88881272-836E-447A-979B-D1010AB9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DC"/>
  </w:style>
  <w:style w:type="paragraph" w:styleId="Titre1">
    <w:name w:val="heading 1"/>
    <w:basedOn w:val="Normal"/>
    <w:next w:val="Normal"/>
    <w:link w:val="Titre1Car"/>
    <w:uiPriority w:val="9"/>
    <w:qFormat/>
    <w:rsid w:val="00A73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3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3A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3A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3A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3A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3A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3A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3A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A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3A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3A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3A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3A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3A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3A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3A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3ADC"/>
    <w:rPr>
      <w:rFonts w:eastAsiaTheme="majorEastAsia" w:cstheme="majorBidi"/>
      <w:color w:val="272727" w:themeColor="text1" w:themeTint="D8"/>
    </w:rPr>
  </w:style>
  <w:style w:type="paragraph" w:styleId="Titre">
    <w:name w:val="Title"/>
    <w:basedOn w:val="Normal"/>
    <w:next w:val="Normal"/>
    <w:link w:val="TitreCar"/>
    <w:uiPriority w:val="10"/>
    <w:qFormat/>
    <w:rsid w:val="00A73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3A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3A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3A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3ADC"/>
    <w:pPr>
      <w:spacing w:before="160"/>
      <w:jc w:val="center"/>
    </w:pPr>
    <w:rPr>
      <w:i/>
      <w:iCs/>
      <w:color w:val="404040" w:themeColor="text1" w:themeTint="BF"/>
    </w:rPr>
  </w:style>
  <w:style w:type="character" w:customStyle="1" w:styleId="CitationCar">
    <w:name w:val="Citation Car"/>
    <w:basedOn w:val="Policepardfaut"/>
    <w:link w:val="Citation"/>
    <w:uiPriority w:val="29"/>
    <w:rsid w:val="00A73ADC"/>
    <w:rPr>
      <w:i/>
      <w:iCs/>
      <w:color w:val="404040" w:themeColor="text1" w:themeTint="BF"/>
    </w:rPr>
  </w:style>
  <w:style w:type="paragraph" w:styleId="Paragraphedeliste">
    <w:name w:val="List Paragraph"/>
    <w:basedOn w:val="Normal"/>
    <w:uiPriority w:val="34"/>
    <w:qFormat/>
    <w:rsid w:val="00A73ADC"/>
    <w:pPr>
      <w:ind w:left="720"/>
      <w:contextualSpacing/>
    </w:pPr>
  </w:style>
  <w:style w:type="character" w:styleId="Accentuationintense">
    <w:name w:val="Intense Emphasis"/>
    <w:basedOn w:val="Policepardfaut"/>
    <w:uiPriority w:val="21"/>
    <w:qFormat/>
    <w:rsid w:val="00A73ADC"/>
    <w:rPr>
      <w:i/>
      <w:iCs/>
      <w:color w:val="0F4761" w:themeColor="accent1" w:themeShade="BF"/>
    </w:rPr>
  </w:style>
  <w:style w:type="paragraph" w:styleId="Citationintense">
    <w:name w:val="Intense Quote"/>
    <w:basedOn w:val="Normal"/>
    <w:next w:val="Normal"/>
    <w:link w:val="CitationintenseCar"/>
    <w:uiPriority w:val="30"/>
    <w:qFormat/>
    <w:rsid w:val="00A73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3ADC"/>
    <w:rPr>
      <w:i/>
      <w:iCs/>
      <w:color w:val="0F4761" w:themeColor="accent1" w:themeShade="BF"/>
    </w:rPr>
  </w:style>
  <w:style w:type="character" w:styleId="Rfrenceintense">
    <w:name w:val="Intense Reference"/>
    <w:basedOn w:val="Policepardfaut"/>
    <w:uiPriority w:val="32"/>
    <w:qFormat/>
    <w:rsid w:val="00A73ADC"/>
    <w:rPr>
      <w:b/>
      <w:bCs/>
      <w:smallCaps/>
      <w:color w:val="0F4761" w:themeColor="accent1" w:themeShade="BF"/>
      <w:spacing w:val="5"/>
    </w:rPr>
  </w:style>
  <w:style w:type="paragraph" w:styleId="En-tte">
    <w:name w:val="header"/>
    <w:basedOn w:val="Normal"/>
    <w:link w:val="En-tteCar"/>
    <w:uiPriority w:val="99"/>
    <w:unhideWhenUsed/>
    <w:rsid w:val="00A73ADC"/>
    <w:pPr>
      <w:tabs>
        <w:tab w:val="center" w:pos="4536"/>
        <w:tab w:val="right" w:pos="9072"/>
      </w:tabs>
      <w:spacing w:after="0" w:line="240" w:lineRule="auto"/>
    </w:pPr>
  </w:style>
  <w:style w:type="character" w:customStyle="1" w:styleId="En-tteCar">
    <w:name w:val="En-tête Car"/>
    <w:basedOn w:val="Policepardfaut"/>
    <w:link w:val="En-tte"/>
    <w:uiPriority w:val="99"/>
    <w:rsid w:val="00A73ADC"/>
  </w:style>
  <w:style w:type="paragraph" w:styleId="Pieddepage">
    <w:name w:val="footer"/>
    <w:basedOn w:val="Normal"/>
    <w:link w:val="PieddepageCar"/>
    <w:uiPriority w:val="99"/>
    <w:unhideWhenUsed/>
    <w:rsid w:val="00A73A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ADC"/>
  </w:style>
  <w:style w:type="table" w:styleId="Grilledutableau">
    <w:name w:val="Table Grid"/>
    <w:basedOn w:val="TableauNormal"/>
    <w:uiPriority w:val="39"/>
    <w:rsid w:val="00A7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Anne</dc:creator>
  <cp:keywords/>
  <dc:description/>
  <cp:lastModifiedBy>Peeters Anne</cp:lastModifiedBy>
  <cp:revision>3</cp:revision>
  <cp:lastPrinted>2025-05-05T08:11:00Z</cp:lastPrinted>
  <dcterms:created xsi:type="dcterms:W3CDTF">2025-04-30T07:01:00Z</dcterms:created>
  <dcterms:modified xsi:type="dcterms:W3CDTF">2025-05-05T11:35:00Z</dcterms:modified>
</cp:coreProperties>
</file>